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296AEDF6" w:rsidR="007B3AC4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>Jsme společnost</w:t>
      </w:r>
      <w:r w:rsidR="006F3829">
        <w:rPr>
          <w:rFonts w:asciiTheme="minorHAnsi" w:hAnsiTheme="minorHAnsi" w:cstheme="minorHAnsi"/>
          <w:sz w:val="22"/>
          <w:szCs w:val="22"/>
        </w:rPr>
        <w:t>:</w:t>
      </w:r>
      <w:r w:rsidRPr="001A33CF">
        <w:rPr>
          <w:rFonts w:asciiTheme="minorHAnsi" w:hAnsiTheme="minorHAnsi" w:cstheme="minorHAnsi"/>
          <w:sz w:val="22"/>
          <w:szCs w:val="22"/>
        </w:rPr>
        <w:t xml:space="preserve"> </w:t>
      </w:r>
      <w:r w:rsidR="006F3829">
        <w:rPr>
          <w:rFonts w:asciiTheme="minorHAnsi" w:hAnsiTheme="minorHAnsi" w:cstheme="minorHAnsi"/>
          <w:sz w:val="22"/>
          <w:szCs w:val="22"/>
        </w:rPr>
        <w:t>Tomáš Doseděl, Hněvotínská 44, Olomouc 779 00, IČ: 06537260</w:t>
      </w:r>
    </w:p>
    <w:p w14:paraId="159A3AAF" w14:textId="50DBA962" w:rsidR="006F3829" w:rsidRPr="001A33CF" w:rsidRDefault="006F3829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3AE1655F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>e-shop na webových stránkách</w:t>
      </w:r>
      <w:r w:rsidR="006F3829">
        <w:rPr>
          <w:rFonts w:asciiTheme="minorHAnsi" w:hAnsiTheme="minorHAnsi" w:cstheme="minorHAnsi"/>
          <w:sz w:val="22"/>
          <w:szCs w:val="22"/>
        </w:rPr>
        <w:t>: www.given.cz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42A7D3B2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Pr="006F3829">
        <w:rPr>
          <w:rFonts w:asciiTheme="minorHAnsi" w:hAnsiTheme="minorHAnsi" w:cstheme="minorHAnsi"/>
          <w:color w:val="000000" w:themeColor="text1"/>
          <w:sz w:val="22"/>
          <w:szCs w:val="22"/>
        </w:rPr>
        <w:t>poskytování</w:t>
      </w:r>
      <w:r w:rsidR="006F3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4B90" w:rsidRPr="006F3829">
        <w:rPr>
          <w:rFonts w:asciiTheme="minorHAnsi" w:hAnsiTheme="minorHAnsi" w:cstheme="minorHAnsi"/>
          <w:color w:val="000000" w:themeColor="text1"/>
          <w:sz w:val="22"/>
          <w:szCs w:val="22"/>
        </w:rPr>
        <w:t>prode</w:t>
      </w:r>
      <w:r w:rsidR="006F3829" w:rsidRPr="006F3829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764B90" w:rsidRPr="006F38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1DDCF014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r w:rsidR="006F3829">
        <w:rPr>
          <w:rFonts w:asciiTheme="minorHAnsi" w:hAnsiTheme="minorHAnsi" w:cstheme="minorHAnsi"/>
          <w:color w:val="000000" w:themeColor="text1"/>
        </w:rPr>
        <w:t>jméno, příjmení, emailová adresa, telefonní kontakt</w:t>
      </w:r>
      <w:r w:rsidR="00A73B4E">
        <w:rPr>
          <w:rFonts w:asciiTheme="minorHAnsi" w:hAnsiTheme="minorHAnsi" w:cstheme="minorHAnsi"/>
          <w:color w:val="000000" w:themeColor="text1"/>
        </w:rPr>
        <w:t>, adresa.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093C2C38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r w:rsidRPr="00A73B4E">
        <w:rPr>
          <w:rFonts w:asciiTheme="minorHAnsi" w:hAnsiTheme="minorHAnsi" w:cstheme="minorHAnsi"/>
          <w:color w:val="000000" w:themeColor="text1"/>
        </w:rPr>
        <w:t>zboží</w:t>
      </w:r>
      <w:r w:rsidR="00A73B4E" w:rsidRPr="00A73B4E">
        <w:rPr>
          <w:rFonts w:asciiTheme="minorHAnsi" w:hAnsiTheme="minorHAnsi" w:cstheme="minorHAnsi"/>
          <w:color w:val="000000" w:themeColor="text1"/>
        </w:rPr>
        <w:t>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6ED325F1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</w:t>
      </w:r>
      <w:r w:rsidR="00A73B4E">
        <w:rPr>
          <w:rFonts w:asciiTheme="minorHAnsi" w:hAnsiTheme="minorHAnsi" w:cstheme="minorHAnsi"/>
          <w:color w:val="000000" w:themeColor="text1"/>
          <w:sz w:val="22"/>
          <w:szCs w:val="22"/>
        </w:rPr>
        <w:t>e 1ě měsíců o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61D602E3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r w:rsidR="00A73B4E">
        <w:rPr>
          <w:rFonts w:asciiTheme="minorHAnsi" w:hAnsiTheme="minorHAnsi" w:cstheme="minorHAnsi"/>
          <w:color w:val="000000" w:themeColor="text1"/>
        </w:rPr>
        <w:t>telefonní kontakt.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6021A9CB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r w:rsidR="00D2231E" w:rsidRPr="00A73B4E">
        <w:rPr>
          <w:rFonts w:asciiTheme="minorHAnsi" w:hAnsiTheme="minorHAnsi" w:cstheme="minorHAnsi"/>
          <w:color w:val="000000" w:themeColor="text1"/>
        </w:rPr>
        <w:t>naše zboží</w:t>
      </w:r>
      <w:r w:rsidR="00A73B4E" w:rsidRPr="00A73B4E">
        <w:rPr>
          <w:rFonts w:asciiTheme="minorHAnsi" w:hAnsiTheme="minorHAnsi" w:cstheme="minorHAnsi"/>
          <w:color w:val="000000" w:themeColor="text1"/>
        </w:rPr>
        <w:t>.</w:t>
      </w:r>
      <w:r w:rsidR="00A73B4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5E0F7D08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r w:rsidR="00F053B1">
        <w:rPr>
          <w:rFonts w:asciiTheme="minorHAnsi" w:hAnsiTheme="minorHAnsi" w:cstheme="minorHAnsi"/>
          <w:color w:val="000000" w:themeColor="text1"/>
        </w:rPr>
        <w:t>požadování ověření věku při nákupu alkoholu.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59460462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DD6F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měsíců o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6DEF4EEC" w:rsidR="009E0509" w:rsidRPr="001A33CF" w:rsidRDefault="00DD6F65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 r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ok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F053B1">
        <w:rPr>
          <w:rFonts w:asciiTheme="minorHAnsi" w:hAnsiTheme="minorHAnsi" w:cstheme="minorHAnsi"/>
          <w:color w:val="000000" w:themeColor="text1"/>
          <w:sz w:val="22"/>
          <w:szCs w:val="22"/>
        </w:rPr>
        <w:t>fo@given.cz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6A5DB127" w:rsidR="00A306D9" w:rsidRPr="00F053B1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</w:t>
      </w:r>
      <w:r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zboží </w:t>
      </w:r>
      <w:proofErr w:type="gramStart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 </w:t>
      </w:r>
      <w:proofErr w:type="spellStart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Zásilkovna</w:t>
      </w:r>
      <w:proofErr w:type="spellEnd"/>
      <w:proofErr w:type="gramEnd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, PPL CZ, Česká pošta</w:t>
      </w:r>
    </w:p>
    <w:p w14:paraId="59638E4E" w14:textId="5ED911EF" w:rsidR="00A306D9" w:rsidRPr="00F053B1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Zásilkovna</w:t>
      </w:r>
      <w:proofErr w:type="spellEnd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PPL CZ, Česká pošta, </w:t>
      </w:r>
      <w:proofErr w:type="spellStart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GoPay</w:t>
      </w:r>
      <w:proofErr w:type="spellEnd"/>
      <w:r w:rsidR="009241C7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D68B728" w14:textId="5A97A2C6" w:rsidR="00A643F0" w:rsidRPr="00F053B1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poskytovatel e-mailingové služby (</w:t>
      </w:r>
      <w:proofErr w:type="spellStart"/>
      <w:r w:rsidR="00F053B1">
        <w:rPr>
          <w:rFonts w:asciiTheme="minorHAnsi" w:hAnsiTheme="minorHAnsi" w:cstheme="minorHAnsi"/>
          <w:color w:val="000000" w:themeColor="text1"/>
          <w:sz w:val="22"/>
          <w:szCs w:val="22"/>
        </w:rPr>
        <w:t>LeadHub</w:t>
      </w:r>
      <w:proofErr w:type="spellEnd"/>
      <w:r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DCE79DE" w14:textId="5A49F409" w:rsidR="009241C7" w:rsidRPr="00F053B1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marketingová agentura (</w:t>
      </w:r>
      <w:proofErr w:type="spellStart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Konver</w:t>
      </w:r>
      <w:proofErr w:type="spellEnd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F053B1"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s.r.o. </w:t>
      </w:r>
      <w:r w:rsidRPr="00F053B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proofErr w:type="gramEnd"/>
    </w:p>
    <w:p w14:paraId="37E6229C" w14:textId="1A238C70" w:rsidR="00C47B60" w:rsidRPr="00F053B1" w:rsidRDefault="00C47B60" w:rsidP="00F053B1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77473E4F" w14:textId="133C893B" w:rsidR="00377ADD" w:rsidRDefault="00C47B60" w:rsidP="00F053B1">
      <w:pPr>
        <w:tabs>
          <w:tab w:val="left" w:pos="426"/>
        </w:tabs>
        <w:spacing w:after="60" w:line="276" w:lineRule="auto"/>
        <w:contextualSpacing/>
        <w:jc w:val="both"/>
      </w:pPr>
      <w:r w:rsidRPr="00C47B60">
        <w:rPr>
          <w:rFonts w:asciiTheme="minorHAnsi" w:hAnsiTheme="minorHAnsi" w:cstheme="minorHAnsi"/>
          <w:color w:val="000000" w:themeColor="text1"/>
        </w:rPr>
        <w:tab/>
      </w: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0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0"/>
      <w:r w:rsidR="00033E9D">
        <w:rPr>
          <w:rStyle w:val="Odkaznakoment"/>
        </w:rPr>
        <w:commentReference w:id="0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3DA0384B" w:rsidR="00466381" w:rsidRDefault="00466381" w:rsidP="00466381">
      <w:pPr>
        <w:ind w:left="426"/>
      </w:pPr>
      <w:r>
        <w:lastRenderedPageBreak/>
        <w:t xml:space="preserve">V naší společnosti </w:t>
      </w:r>
      <w:r w:rsidRPr="00F053B1">
        <w:t>ne</w:t>
      </w:r>
      <w:r w:rsidR="00F053B1" w:rsidRPr="00F053B1">
        <w:t>máme</w:t>
      </w:r>
      <w:r>
        <w:t xml:space="preserve"> 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469C6100" w:rsidR="007340B9" w:rsidRDefault="007340B9" w:rsidP="00466381">
      <w:pPr>
        <w:ind w:left="426"/>
      </w:pPr>
      <w:r>
        <w:t xml:space="preserve">V naší společnosti </w:t>
      </w:r>
      <w:r w:rsidRPr="00F053B1">
        <w:t>nedochází</w:t>
      </w:r>
      <w:r w:rsidR="009E20C6">
        <w:t xml:space="preserve">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4EF57616" w14:textId="1AC866A9" w:rsidR="00433D2C" w:rsidRDefault="007340B9" w:rsidP="00F053B1">
      <w:pPr>
        <w:tabs>
          <w:tab w:val="left" w:pos="426"/>
        </w:tabs>
        <w:spacing w:after="60" w:line="276" w:lineRule="auto"/>
        <w:ind w:left="426"/>
        <w:jc w:val="both"/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F053B1">
        <w:rPr>
          <w:rFonts w:asciiTheme="minorHAnsi" w:hAnsiTheme="minorHAnsi" w:cstheme="minorHAnsi"/>
          <w:color w:val="000000" w:themeColor="text1"/>
        </w:rPr>
        <w:t>info@given.cz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="00F053B1">
        <w:rPr>
          <w:rFonts w:asciiTheme="minorHAnsi" w:hAnsiTheme="minorHAnsi" w:cstheme="minorHAnsi"/>
          <w:color w:val="000000" w:themeColor="text1"/>
        </w:rPr>
        <w:t xml:space="preserve">+420 775 090 943 </w:t>
      </w:r>
      <w:r w:rsidR="00433D2C">
        <w:t xml:space="preserve">Používání souborů </w:t>
      </w:r>
      <w:proofErr w:type="spellStart"/>
      <w:r w:rsidR="00433D2C">
        <w:t>cookies</w:t>
      </w:r>
      <w:proofErr w:type="spellEnd"/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proofErr w:type="spellStart"/>
      <w:r w:rsidRPr="00433D2C">
        <w:t>Cookies</w:t>
      </w:r>
      <w:proofErr w:type="spellEnd"/>
      <w:r w:rsidRPr="00433D2C">
        <w:t xml:space="preserve">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 xml:space="preserve">oužíváme následující </w:t>
      </w:r>
      <w:proofErr w:type="spellStart"/>
      <w:r w:rsidR="00433D2C" w:rsidRPr="00433D2C">
        <w:t>cookies</w:t>
      </w:r>
      <w:proofErr w:type="spellEnd"/>
      <w:r w:rsidR="00433D2C" w:rsidRPr="00433D2C">
        <w:t>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. Tato kategorie </w:t>
      </w:r>
      <w:proofErr w:type="spellStart"/>
      <w:r w:rsidR="00433D2C" w:rsidRPr="001C70AE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="00433D2C" w:rsidRPr="001C70AE">
        <w:rPr>
          <w:rFonts w:asciiTheme="minorHAnsi" w:hAnsiTheme="minorHAnsi" w:cstheme="minorHAnsi"/>
          <w:sz w:val="22"/>
          <w:szCs w:val="22"/>
        </w:rPr>
        <w:t xml:space="preserve">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Reklamní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 xml:space="preserve">Upozorňujeme, že třetí strany (včetně např. poskytovatelů externích služeb) mohou rovněž používat </w:t>
      </w:r>
      <w:proofErr w:type="spellStart"/>
      <w:r w:rsidRPr="00E07EB3">
        <w:t>cookies</w:t>
      </w:r>
      <w:proofErr w:type="spellEnd"/>
      <w:r w:rsidRPr="00E07EB3">
        <w:t xml:space="preserve"> a/nebo přistupovat k údajům shromažďovaným </w:t>
      </w:r>
      <w:proofErr w:type="spellStart"/>
      <w:r w:rsidRPr="00E07EB3">
        <w:t>cookies</w:t>
      </w:r>
      <w:proofErr w:type="spellEnd"/>
      <w:r w:rsidRPr="00E07EB3">
        <w:t xml:space="preserve">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 xml:space="preserve">Používané soubory </w:t>
      </w:r>
      <w:proofErr w:type="spellStart"/>
      <w:r>
        <w:t>cookies</w:t>
      </w:r>
      <w:proofErr w:type="spellEnd"/>
      <w:r>
        <w:t>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30"/>
        <w:gridCol w:w="4604"/>
        <w:gridCol w:w="1701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 xml:space="preserve">Účel o popis </w:t>
            </w:r>
            <w:proofErr w:type="spellStart"/>
            <w:r w:rsidRPr="00143DF6">
              <w:rPr>
                <w:rFonts w:eastAsia="Times New Roman"/>
                <w:b/>
                <w:bCs/>
                <w:color w:val="000000"/>
              </w:rPr>
              <w:t>cookies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431B075B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commentRangeStart w:id="1"/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  <w:commentRangeEnd w:id="1"/>
            <w:r w:rsidRPr="00143DF6">
              <w:rPr>
                <w:rStyle w:val="Odkaznakoment"/>
                <w:sz w:val="22"/>
                <w:szCs w:val="22"/>
              </w:rPr>
              <w:commentReference w:id="1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3D8EABC4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79780E30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1FF00522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Relační /Permanentní ([</w:t>
            </w:r>
            <w:r w:rsidRPr="00143DF6">
              <w:rPr>
                <w:rFonts w:eastAsia="Times New Roman"/>
                <w:color w:val="000000"/>
                <w:highlight w:val="yellow"/>
              </w:rPr>
              <w:t>•</w:t>
            </w:r>
            <w:r w:rsidRPr="00143DF6">
              <w:rPr>
                <w:rFonts w:eastAsia="Times New Roman"/>
                <w:color w:val="000000"/>
              </w:rPr>
              <w:t>] hodin)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 xml:space="preserve">Další informace o </w:t>
      </w:r>
      <w:proofErr w:type="spellStart"/>
      <w:r w:rsidRPr="008748C8">
        <w:t>cookies</w:t>
      </w:r>
      <w:proofErr w:type="spellEnd"/>
      <w:r w:rsidRPr="008748C8">
        <w:t xml:space="preserve">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</w:t>
      </w:r>
      <w:proofErr w:type="spellStart"/>
      <w:r w:rsidRPr="008748C8">
        <w:t>cookies</w:t>
      </w:r>
      <w:proofErr w:type="spellEnd"/>
      <w:r w:rsidRPr="008748C8">
        <w:t xml:space="preserve">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 xml:space="preserve">Další informace o správě </w:t>
      </w:r>
      <w:proofErr w:type="spellStart"/>
      <w:r w:rsidRPr="008748C8">
        <w:t>cookies</w:t>
      </w:r>
      <w:proofErr w:type="spellEnd"/>
      <w:r w:rsidRPr="008748C8">
        <w:t xml:space="preserve">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lastRenderedPageBreak/>
        <w:t>Google Chrome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48C8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0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4F8B336D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F053B1">
        <w:rPr>
          <w:rFonts w:asciiTheme="minorHAnsi" w:hAnsiTheme="minorHAnsi" w:cstheme="minorHAnsi"/>
          <w:color w:val="000000" w:themeColor="text1"/>
        </w:rPr>
        <w:t>1.1.2023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highlight w:val="white"/>
          <w:lang w:val="sk-SK"/>
        </w:rPr>
        <w:t>Pokud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se</w:t>
      </w:r>
      <w:proofErr w:type="spellEnd"/>
      <w:r>
        <w:rPr>
          <w:highlight w:val="white"/>
          <w:lang w:val="sk-SK"/>
        </w:rPr>
        <w:t xml:space="preserve"> osobní údaje </w:t>
      </w:r>
      <w:proofErr w:type="spellStart"/>
      <w:r>
        <w:rPr>
          <w:highlight w:val="white"/>
          <w:lang w:val="sk-SK"/>
        </w:rPr>
        <w:t>dostanou</w:t>
      </w:r>
      <w:proofErr w:type="spellEnd"/>
      <w:r>
        <w:rPr>
          <w:highlight w:val="white"/>
          <w:lang w:val="sk-SK"/>
        </w:rPr>
        <w:t xml:space="preserve"> mimo EU (pozor </w:t>
      </w:r>
      <w:proofErr w:type="spellStart"/>
      <w:r>
        <w:rPr>
          <w:highlight w:val="white"/>
          <w:lang w:val="sk-SK"/>
        </w:rPr>
        <w:t>např</w:t>
      </w:r>
      <w:proofErr w:type="spellEnd"/>
      <w:r>
        <w:rPr>
          <w:highlight w:val="white"/>
          <w:lang w:val="sk-SK"/>
        </w:rPr>
        <w:t xml:space="preserve">. na americké nástroje ap.), musíte tuto </w:t>
      </w:r>
      <w:proofErr w:type="spellStart"/>
      <w:r>
        <w:rPr>
          <w:highlight w:val="white"/>
          <w:lang w:val="sk-SK"/>
        </w:rPr>
        <w:t>větu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upravit</w:t>
      </w:r>
      <w:proofErr w:type="spellEnd"/>
      <w:r>
        <w:rPr>
          <w:highlight w:val="white"/>
          <w:lang w:val="sk-SK"/>
        </w:rPr>
        <w:t xml:space="preserve"> na </w:t>
      </w:r>
      <w:proofErr w:type="spellStart"/>
      <w:r>
        <w:rPr>
          <w:highlight w:val="white"/>
          <w:lang w:val="sk-SK"/>
        </w:rPr>
        <w:t>míru</w:t>
      </w:r>
      <w:proofErr w:type="spellEnd"/>
      <w:r>
        <w:rPr>
          <w:highlight w:val="white"/>
          <w:lang w:val="sk-SK"/>
        </w:rPr>
        <w:t xml:space="preserve"> a </w:t>
      </w:r>
      <w:proofErr w:type="spellStart"/>
      <w:r>
        <w:rPr>
          <w:highlight w:val="white"/>
          <w:lang w:val="sk-SK"/>
        </w:rPr>
        <w:t>zjistit</w:t>
      </w:r>
      <w:proofErr w:type="spellEnd"/>
      <w:r>
        <w:rPr>
          <w:highlight w:val="white"/>
          <w:lang w:val="sk-SK"/>
        </w:rPr>
        <w:t xml:space="preserve">, </w:t>
      </w:r>
      <w:proofErr w:type="spellStart"/>
      <w:r>
        <w:rPr>
          <w:highlight w:val="white"/>
          <w:lang w:val="sk-SK"/>
        </w:rPr>
        <w:t>jestli</w:t>
      </w:r>
      <w:proofErr w:type="spellEnd"/>
      <w:r>
        <w:rPr>
          <w:highlight w:val="white"/>
          <w:lang w:val="sk-SK"/>
        </w:rPr>
        <w:t xml:space="preserve"> je použití nebo </w:t>
      </w:r>
      <w:proofErr w:type="spellStart"/>
      <w:r>
        <w:rPr>
          <w:highlight w:val="white"/>
          <w:lang w:val="sk-SK"/>
        </w:rPr>
        <w:t>umístění</w:t>
      </w:r>
      <w:proofErr w:type="spellEnd"/>
      <w:r>
        <w:rPr>
          <w:highlight w:val="white"/>
          <w:lang w:val="sk-SK"/>
        </w:rPr>
        <w:t xml:space="preserve"> mimo EU </w:t>
      </w:r>
      <w:proofErr w:type="spellStart"/>
      <w:r>
        <w:rPr>
          <w:highlight w:val="white"/>
          <w:lang w:val="sk-SK"/>
        </w:rPr>
        <w:t>právně</w:t>
      </w:r>
      <w:proofErr w:type="spellEnd"/>
      <w:r>
        <w:rPr>
          <w:highlight w:val="white"/>
          <w:lang w:val="sk-SK"/>
        </w:rPr>
        <w:t xml:space="preserve"> v </w:t>
      </w:r>
      <w:proofErr w:type="spellStart"/>
      <w:r>
        <w:rPr>
          <w:highlight w:val="white"/>
          <w:lang w:val="sk-SK"/>
        </w:rPr>
        <w:t>pořádku</w:t>
      </w:r>
      <w:proofErr w:type="spellEnd"/>
      <w:r>
        <w:rPr>
          <w:highlight w:val="white"/>
          <w:lang w:val="sk-SK"/>
        </w:rPr>
        <w:t>.</w:t>
      </w:r>
    </w:p>
  </w:comment>
  <w:comment w:id="1" w:author="Autor" w:initials="A">
    <w:p w14:paraId="094F5C72" w14:textId="79817278" w:rsidR="001C70AE" w:rsidRDefault="001C70AE">
      <w:pPr>
        <w:pStyle w:val="Textkomente"/>
      </w:pPr>
      <w:r>
        <w:rPr>
          <w:rStyle w:val="Odkaznakoment"/>
        </w:rPr>
        <w:annotationRef/>
      </w:r>
      <w:r>
        <w:t xml:space="preserve">Doporučujeme doplnit alespoň některé základní soubory </w:t>
      </w:r>
      <w:proofErr w:type="spellStart"/>
      <w:r>
        <w:t>cookies</w:t>
      </w:r>
      <w:proofErr w:type="spellEnd"/>
      <w:r>
        <w:t xml:space="preserve"> (včetně uvedení vydavatele, např. Google </w:t>
      </w:r>
      <w:proofErr w:type="spellStart"/>
      <w:r>
        <w:t>Analytics</w:t>
      </w:r>
      <w:proofErr w:type="spellEnd"/>
      <w:r>
        <w:t xml:space="preserve">, účelu a doby uložení), které používáte, příp. např. reklamní </w:t>
      </w:r>
      <w:proofErr w:type="spellStart"/>
      <w:r>
        <w:t>cookies</w:t>
      </w:r>
      <w:proofErr w:type="spellEnd"/>
      <w:r>
        <w:t xml:space="preserve"> či </w:t>
      </w:r>
      <w:proofErr w:type="spellStart"/>
      <w:r>
        <w:t>cookies</w:t>
      </w:r>
      <w:proofErr w:type="spellEnd"/>
      <w:r>
        <w:t xml:space="preserve"> třetích stran. Pro úplnost upozorňujeme, že jako provozovatel webové stránky </w:t>
      </w:r>
      <w:r w:rsidR="008748C8">
        <w:t xml:space="preserve">jste povinni mít přehled a vést seznam všech souborů </w:t>
      </w:r>
      <w:proofErr w:type="spellStart"/>
      <w:r w:rsidR="008748C8">
        <w:t>cookies</w:t>
      </w:r>
      <w:proofErr w:type="spellEnd"/>
      <w:r w:rsidR="008748C8">
        <w:t>, které na svých webových stránkách používáte.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E7406A" w15:done="0"/>
  <w15:commentEx w15:paraId="094F5C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7406A" w16cid:durableId="248413CA"/>
  <w16cid:commentId w16cid:paraId="094F5C72" w16cid:durableId="2562E5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2643" w14:textId="77777777" w:rsidR="007B0D85" w:rsidRDefault="007B0D85" w:rsidP="00966C62">
      <w:r>
        <w:separator/>
      </w:r>
    </w:p>
  </w:endnote>
  <w:endnote w:type="continuationSeparator" w:id="0">
    <w:p w14:paraId="1C9DD03C" w14:textId="77777777" w:rsidR="007B0D85" w:rsidRDefault="007B0D85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1FB9" w14:textId="77777777" w:rsidR="007B0D85" w:rsidRDefault="007B0D85" w:rsidP="00966C62">
      <w:r>
        <w:separator/>
      </w:r>
    </w:p>
  </w:footnote>
  <w:footnote w:type="continuationSeparator" w:id="0">
    <w:p w14:paraId="5E41F57E" w14:textId="77777777" w:rsidR="007B0D85" w:rsidRDefault="007B0D85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6F3829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0D85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442A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3B4E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27276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6F65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053B1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help.opera.com/cs/latest/security-and-priva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apple.com/cs-cz/guide/safari/sfri11471/m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ozilla.org/cs/kb/povoleni-zakazani-cookies" TargetMode="External"/><Relationship Id="rId20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co=GENIE.Platform%3DDesktop&amp;hl=c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cs-cz/sccm/compliance/deploy-use/browser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help/17442/windows-internet-explorer-delete-manage-cook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2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2022-12-27T18:38:00Z</dcterms:created>
  <dcterms:modified xsi:type="dcterms:W3CDTF">2022-12-27T18:38:00Z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